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Tiffany,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00:01:33].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8:15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Wilkerson's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Isabel,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biracial,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00:05:20]. And I mean this school is an elementary school and she was in kindergarten. So I can definitely say that I experienced 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ma'am.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bungalow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Episcopal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'59.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Wilkerson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Montgomery,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abysmal.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Tiffany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U.S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00:15:35]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beneath?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aghast,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Dunwoody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carpets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endeavor.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SunTrust.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Tiffany,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8:15,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unfairly,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win-win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discomfort.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00:27:44]. And then maybe just quickly coming up with an outline that we can follow internally, different aspects, does social justice lens in the meetings about different decisions that are made [inaudible 00:27:53]. And I see that the [inaudible 00:27:53]. So I'll just end it there, but just coming up with an outline of [inaudible 00:28:25]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00:28:47]. I like the language you use, the social justice lens on all the issues. I think that's really important. Commissioner Harrell. Would you like to give us your 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00:30:03]. All right, commissioner Wells...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00:31:12].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unanimous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impoverished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inclusion-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2_18 Breakout Meeting Recording - Group 5 (Completed  03/01/21)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8_lCPQ_JLiUX4qyC98FVM1gy-m9TPd80wZkTrdEwXjBmnu5nthH2O5fqTR_GF4ybEmuQlnZOYaN2WfDd0VDwUt12t0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