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tales',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piggyback...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[Lenox Park 00:00:31]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00:00:33], that's what I'm struggling with. There is definiteily a caste system in Brookhaven. I work with the Latino 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gentrified.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tuaght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Montgomery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DeKalb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'yes'.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excerpt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corridor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10-15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Anibal.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homogenized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socioeconomically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00:05:32]? I didn't want to...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Kroger.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DeKalb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Kroger.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Peachtree,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00:07:51]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Zaxby's,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Peachtree.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Peachtree.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tortillas,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Taqueria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[Pas Porsita 00:13:44]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Bangladeshi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Plaza.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Anibal.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Czechoslovakia,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destinations,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DeKalb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rotisserie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Bryant...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00:16:16]. It's a bakery, it's fantastic. They have one on Buford Highway, but they also have one on [inaudible 00:16:23]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00:17:13], you do 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00:17:18]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00:18:12], really grasp the births of the years. And I've been fortunate because I have got to really find out Buford Highway, and experience the diversity, so it is a bit overwhelming to do, but I embrace it. Many people have not had that opportunity. Probably a lot of people in this Commission, who probably have travelled the world, but let's figure out what you got in your own home city, it's 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Peachtree,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00:19:04], because it is great. So, that's the part of the principle. And that's my contribution. I still think John should report 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discomfort,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corridor,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corridor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dichotomy.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00:24:23]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Blossom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scavenger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Lynwood.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African-Americans,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Chamblee?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00:27:12]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a-ha's,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Anibal.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Wells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unanimous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2_18 Breakout Meeting Recording - Group 3 (Completed  03/01/21)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Si3l7GocgoVXP1NW3vn4HL5PUmbFEqG8luVwXjG5i7PCRHYvQHkbpNwtaMZvgMNBPJD31iXDsvp4y9ohhxxtUvCXFfQ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